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2F84" w14:textId="77777777" w:rsidR="00293CEF" w:rsidRDefault="00293CEF" w:rsidP="00293CEF">
      <w:pPr>
        <w:pStyle w:val="Heading1"/>
      </w:pPr>
      <w:r>
        <w:t>Disability Worker Screening</w:t>
      </w:r>
    </w:p>
    <w:p w14:paraId="7792AD5F" w14:textId="77777777" w:rsidR="00293CEF" w:rsidRDefault="00293CEF" w:rsidP="00293CEF">
      <w:pPr>
        <w:pStyle w:val="UltraHeading"/>
      </w:pPr>
      <w:r>
        <w:t>Privacy Statement</w:t>
      </w:r>
    </w:p>
    <w:p w14:paraId="51120E38" w14:textId="77777777" w:rsidR="00293CEF" w:rsidRDefault="00293CEF" w:rsidP="00293CEF">
      <w:pPr>
        <w:pStyle w:val="Heading2"/>
      </w:pPr>
      <w:r>
        <w:t>Your privacy</w:t>
      </w:r>
    </w:p>
    <w:p w14:paraId="3CB86C29" w14:textId="77777777" w:rsidR="00293CEF" w:rsidRDefault="00293CEF" w:rsidP="00293CEF">
      <w:r>
        <w:t xml:space="preserve">The Department of Justice (the Department) is collecting, using and disclosing your personal information under the </w:t>
      </w:r>
      <w:r>
        <w:rPr>
          <w:i/>
          <w:iCs/>
        </w:rPr>
        <w:t>Disability Services Act 2006</w:t>
      </w:r>
      <w:r>
        <w:t xml:space="preserve"> (Qld) (the Act). The department also manages personal information in accordance with the </w:t>
      </w:r>
      <w:r>
        <w:rPr>
          <w:i/>
          <w:iCs/>
        </w:rPr>
        <w:t>Information Privacy Act</w:t>
      </w:r>
      <w:r>
        <w:t xml:space="preserve"> 2009 (Qld) (IP Act).</w:t>
      </w:r>
    </w:p>
    <w:p w14:paraId="0A1A375E" w14:textId="77777777" w:rsidR="00293CEF" w:rsidRDefault="00293CEF" w:rsidP="00293CEF">
      <w:pPr>
        <w:spacing w:after="0"/>
      </w:pPr>
    </w:p>
    <w:p w14:paraId="2ACAB5CA" w14:textId="77777777" w:rsidR="00293CEF" w:rsidRDefault="00293CEF" w:rsidP="00293CEF">
      <w:r>
        <w:t>Your use of the Disability Worker Portal may involve the collection of your personal information.</w:t>
      </w:r>
    </w:p>
    <w:p w14:paraId="3DACD967" w14:textId="77777777" w:rsidR="00293CEF" w:rsidRDefault="00293CEF" w:rsidP="00293CEF">
      <w:pPr>
        <w:spacing w:after="0"/>
      </w:pPr>
    </w:p>
    <w:p w14:paraId="2B1D2826" w14:textId="77777777" w:rsidR="00293CEF" w:rsidRDefault="00293CEF" w:rsidP="00293CEF">
      <w:r>
        <w:t>Your personal information is collected for the following purposes:</w:t>
      </w:r>
    </w:p>
    <w:p w14:paraId="189A0A95" w14:textId="77777777" w:rsidR="00293CEF" w:rsidRDefault="00293CEF" w:rsidP="00293CEF">
      <w:pPr>
        <w:pStyle w:val="ListParagraph"/>
        <w:numPr>
          <w:ilvl w:val="0"/>
          <w:numId w:val="8"/>
        </w:numPr>
        <w:tabs>
          <w:tab w:val="clear" w:pos="2835"/>
        </w:tabs>
        <w:spacing w:after="160" w:line="252" w:lineRule="auto"/>
        <w:contextualSpacing/>
      </w:pPr>
      <w:r>
        <w:t xml:space="preserve">to verify your identity, verification of you as a user and for </w:t>
      </w:r>
      <w:r w:rsidRPr="00F215B8">
        <w:t>security</w:t>
      </w:r>
      <w:r>
        <w:t xml:space="preserve"> </w:t>
      </w:r>
      <w:proofErr w:type="gramStart"/>
      <w:r>
        <w:t>purposes;</w:t>
      </w:r>
      <w:proofErr w:type="gramEnd"/>
      <w:r w:rsidRPr="00F215B8">
        <w:t xml:space="preserve"> </w:t>
      </w:r>
    </w:p>
    <w:p w14:paraId="6894A242" w14:textId="77777777" w:rsidR="00293CEF" w:rsidRDefault="00293CEF" w:rsidP="00293CEF">
      <w:pPr>
        <w:pStyle w:val="ListParagraph"/>
        <w:numPr>
          <w:ilvl w:val="0"/>
          <w:numId w:val="8"/>
        </w:numPr>
        <w:tabs>
          <w:tab w:val="clear" w:pos="2835"/>
        </w:tabs>
        <w:spacing w:after="160" w:line="252" w:lineRule="auto"/>
        <w:contextualSpacing/>
      </w:pPr>
      <w:r>
        <w:t xml:space="preserve">to contact you in relation to your application for a </w:t>
      </w:r>
      <w:proofErr w:type="gramStart"/>
      <w:r>
        <w:t>clearance;</w:t>
      </w:r>
      <w:proofErr w:type="gramEnd"/>
    </w:p>
    <w:p w14:paraId="2921BDA8" w14:textId="77777777" w:rsidR="00293CEF" w:rsidRDefault="00293CEF" w:rsidP="00293CEF">
      <w:pPr>
        <w:pStyle w:val="ListParagraph"/>
        <w:numPr>
          <w:ilvl w:val="0"/>
          <w:numId w:val="8"/>
        </w:numPr>
        <w:tabs>
          <w:tab w:val="clear" w:pos="2835"/>
        </w:tabs>
        <w:spacing w:after="160" w:line="252" w:lineRule="auto"/>
        <w:contextualSpacing/>
      </w:pPr>
      <w:r>
        <w:t xml:space="preserve">provide notifications regarding application status and upcoming clearance renewal </w:t>
      </w:r>
      <w:proofErr w:type="gramStart"/>
      <w:r>
        <w:t>requirements;</w:t>
      </w:r>
      <w:proofErr w:type="gramEnd"/>
    </w:p>
    <w:p w14:paraId="0E759D4B" w14:textId="77777777" w:rsidR="00293CEF" w:rsidRDefault="00293CEF" w:rsidP="00293CEF">
      <w:pPr>
        <w:pStyle w:val="ListParagraph"/>
        <w:numPr>
          <w:ilvl w:val="0"/>
          <w:numId w:val="8"/>
        </w:numPr>
        <w:tabs>
          <w:tab w:val="clear" w:pos="2835"/>
        </w:tabs>
        <w:spacing w:after="160" w:line="252" w:lineRule="auto"/>
        <w:contextualSpacing/>
      </w:pPr>
      <w:r>
        <w:t xml:space="preserve">process your application and determine your eligibility to hold a </w:t>
      </w:r>
      <w:proofErr w:type="gramStart"/>
      <w:r>
        <w:t>clearance;</w:t>
      </w:r>
      <w:proofErr w:type="gramEnd"/>
    </w:p>
    <w:p w14:paraId="511FEFC1" w14:textId="77777777" w:rsidR="00293CEF" w:rsidRDefault="00293CEF" w:rsidP="00293CEF">
      <w:pPr>
        <w:pStyle w:val="ListParagraph"/>
        <w:numPr>
          <w:ilvl w:val="0"/>
          <w:numId w:val="8"/>
        </w:numPr>
        <w:tabs>
          <w:tab w:val="clear" w:pos="2835"/>
        </w:tabs>
        <w:spacing w:after="160" w:line="252" w:lineRule="auto"/>
        <w:contextualSpacing/>
      </w:pPr>
      <w:r>
        <w:t xml:space="preserve">produce and issue your clearance </w:t>
      </w:r>
      <w:proofErr w:type="gramStart"/>
      <w:r>
        <w:t>card;</w:t>
      </w:r>
      <w:proofErr w:type="gramEnd"/>
    </w:p>
    <w:p w14:paraId="513DB114" w14:textId="77777777" w:rsidR="00293CEF" w:rsidRDefault="00293CEF" w:rsidP="00293CEF">
      <w:pPr>
        <w:pStyle w:val="ListParagraph"/>
        <w:numPr>
          <w:ilvl w:val="0"/>
          <w:numId w:val="8"/>
        </w:numPr>
        <w:tabs>
          <w:tab w:val="clear" w:pos="2835"/>
        </w:tabs>
        <w:spacing w:after="160" w:line="252" w:lineRule="auto"/>
        <w:contextualSpacing/>
      </w:pPr>
      <w:r>
        <w:t xml:space="preserve">monitor your ongoing eligibility to hold a </w:t>
      </w:r>
      <w:proofErr w:type="gramStart"/>
      <w:r>
        <w:t>clearance;</w:t>
      </w:r>
      <w:proofErr w:type="gramEnd"/>
      <w:r>
        <w:t xml:space="preserve"> </w:t>
      </w:r>
    </w:p>
    <w:p w14:paraId="46BF30AB" w14:textId="77777777" w:rsidR="00293CEF" w:rsidRDefault="00293CEF" w:rsidP="00293CEF">
      <w:pPr>
        <w:pStyle w:val="ListParagraph"/>
        <w:numPr>
          <w:ilvl w:val="0"/>
          <w:numId w:val="8"/>
        </w:numPr>
        <w:tabs>
          <w:tab w:val="clear" w:pos="2835"/>
        </w:tabs>
        <w:spacing w:after="160" w:line="252" w:lineRule="auto"/>
        <w:contextualSpacing/>
      </w:pPr>
      <w:r>
        <w:t xml:space="preserve">administering the disability worker screening system and meeting your obligations under the </w:t>
      </w:r>
      <w:r w:rsidRPr="00393AAD">
        <w:t>Act</w:t>
      </w:r>
      <w:r>
        <w:t>; and</w:t>
      </w:r>
    </w:p>
    <w:p w14:paraId="2FBAF93F" w14:textId="77777777" w:rsidR="00293CEF" w:rsidRDefault="00293CEF" w:rsidP="00293CEF">
      <w:pPr>
        <w:pStyle w:val="ListParagraph"/>
        <w:numPr>
          <w:ilvl w:val="0"/>
          <w:numId w:val="8"/>
        </w:numPr>
        <w:tabs>
          <w:tab w:val="clear" w:pos="2835"/>
        </w:tabs>
        <w:spacing w:after="160" w:line="252" w:lineRule="auto"/>
        <w:contextualSpacing/>
      </w:pPr>
      <w:r>
        <w:t>other matters pertaining to the Act.</w:t>
      </w:r>
    </w:p>
    <w:p w14:paraId="32F8B9A8" w14:textId="77777777" w:rsidR="00293CEF" w:rsidRDefault="00293CEF" w:rsidP="00293CEF">
      <w:r>
        <w:t xml:space="preserve">Your personal information (including the </w:t>
      </w:r>
      <w:proofErr w:type="gramStart"/>
      <w:r>
        <w:t>current status</w:t>
      </w:r>
      <w:proofErr w:type="gramEnd"/>
      <w:r>
        <w:t xml:space="preserve"> of your application or clearance) may also be disclosed to: </w:t>
      </w:r>
    </w:p>
    <w:p w14:paraId="0AF73EB9" w14:textId="77777777" w:rsidR="00293CEF" w:rsidRDefault="00293CEF" w:rsidP="00293CEF">
      <w:pPr>
        <w:pStyle w:val="ListParagraph"/>
        <w:numPr>
          <w:ilvl w:val="0"/>
          <w:numId w:val="9"/>
        </w:numPr>
        <w:tabs>
          <w:tab w:val="clear" w:pos="2835"/>
        </w:tabs>
        <w:spacing w:after="160" w:line="252" w:lineRule="auto"/>
        <w:contextualSpacing/>
      </w:pPr>
      <w:r w:rsidRPr="00F215B8">
        <w:t xml:space="preserve">prescribed entities, notifiable persons, potential employers and other government </w:t>
      </w:r>
      <w:proofErr w:type="gramStart"/>
      <w:r w:rsidRPr="00F215B8">
        <w:t>agencies;</w:t>
      </w:r>
      <w:proofErr w:type="gramEnd"/>
    </w:p>
    <w:p w14:paraId="4A2DE6C5" w14:textId="77777777" w:rsidR="00293CEF" w:rsidRDefault="00293CEF" w:rsidP="00293CEF">
      <w:pPr>
        <w:pStyle w:val="ListParagraph"/>
        <w:numPr>
          <w:ilvl w:val="0"/>
          <w:numId w:val="9"/>
        </w:numPr>
        <w:tabs>
          <w:tab w:val="clear" w:pos="2835"/>
        </w:tabs>
        <w:spacing w:after="160" w:line="252" w:lineRule="auto"/>
        <w:contextualSpacing/>
      </w:pPr>
      <w:r w:rsidRPr="00F215B8">
        <w:t>police for the purpose of obtaining police inf</w:t>
      </w:r>
      <w:r>
        <w:t>ormation in accordance with the</w:t>
      </w:r>
      <w:r w:rsidRPr="009D2ED0">
        <w:t xml:space="preserve"> </w:t>
      </w:r>
      <w:proofErr w:type="gramStart"/>
      <w:r w:rsidRPr="009D2ED0">
        <w:t>Act</w:t>
      </w:r>
      <w:r>
        <w:t>;</w:t>
      </w:r>
      <w:proofErr w:type="gramEnd"/>
    </w:p>
    <w:p w14:paraId="5DFAE9CF" w14:textId="77777777" w:rsidR="00293CEF" w:rsidRDefault="00293CEF" w:rsidP="00293CEF">
      <w:pPr>
        <w:pStyle w:val="ListParagraph"/>
        <w:numPr>
          <w:ilvl w:val="0"/>
          <w:numId w:val="9"/>
        </w:numPr>
        <w:tabs>
          <w:tab w:val="clear" w:pos="2835"/>
        </w:tabs>
        <w:spacing w:after="160" w:line="252" w:lineRule="auto"/>
        <w:contextualSpacing/>
      </w:pPr>
      <w:r>
        <w:t xml:space="preserve">courts, and regulatory, governing, disciplinary or supervisory bodies, other Australian agencies responsible for screening individuals who work or provide services, or propose to do so, for people with disability, children or vulnerable people, including Blue Card </w:t>
      </w:r>
      <w:proofErr w:type="gramStart"/>
      <w:r>
        <w:t>Services;</w:t>
      </w:r>
      <w:proofErr w:type="gramEnd"/>
    </w:p>
    <w:p w14:paraId="7DE886A8" w14:textId="77777777" w:rsidR="00293CEF" w:rsidRDefault="00293CEF" w:rsidP="00293CEF">
      <w:pPr>
        <w:pStyle w:val="ListParagraph"/>
        <w:numPr>
          <w:ilvl w:val="0"/>
          <w:numId w:val="9"/>
        </w:numPr>
        <w:tabs>
          <w:tab w:val="clear" w:pos="2835"/>
        </w:tabs>
        <w:spacing w:after="160" w:line="252" w:lineRule="auto"/>
        <w:contextualSpacing/>
      </w:pPr>
      <w:r>
        <w:t xml:space="preserve">NDIS Quality and Safeguards </w:t>
      </w:r>
      <w:proofErr w:type="gramStart"/>
      <w:r>
        <w:t>Commission;</w:t>
      </w:r>
      <w:proofErr w:type="gramEnd"/>
      <w:r>
        <w:t xml:space="preserve"> </w:t>
      </w:r>
    </w:p>
    <w:p w14:paraId="5C82E0C7" w14:textId="77777777" w:rsidR="00293CEF" w:rsidRDefault="00293CEF" w:rsidP="00293CEF">
      <w:pPr>
        <w:pStyle w:val="ListParagraph"/>
        <w:numPr>
          <w:ilvl w:val="0"/>
          <w:numId w:val="9"/>
        </w:numPr>
        <w:tabs>
          <w:tab w:val="clear" w:pos="2835"/>
        </w:tabs>
        <w:spacing w:after="160" w:line="252" w:lineRule="auto"/>
        <w:contextualSpacing/>
      </w:pPr>
      <w:r>
        <w:t>u</w:t>
      </w:r>
      <w:r w:rsidRPr="000B3795">
        <w:t xml:space="preserve">niversities, other training institutes, recruitment agencies, placement companies and online matching services for the purpose of endorsing </w:t>
      </w:r>
      <w:r>
        <w:t>your</w:t>
      </w:r>
      <w:r w:rsidRPr="000B3795">
        <w:t xml:space="preserve"> </w:t>
      </w:r>
      <w:proofErr w:type="gramStart"/>
      <w:r w:rsidRPr="000B3795">
        <w:t>clearance</w:t>
      </w:r>
      <w:r>
        <w:t>;</w:t>
      </w:r>
      <w:proofErr w:type="gramEnd"/>
    </w:p>
    <w:p w14:paraId="23F614FA" w14:textId="77777777" w:rsidR="00293CEF" w:rsidRDefault="00293CEF" w:rsidP="00293CEF">
      <w:pPr>
        <w:pStyle w:val="ListParagraph"/>
        <w:numPr>
          <w:ilvl w:val="0"/>
          <w:numId w:val="9"/>
        </w:numPr>
        <w:tabs>
          <w:tab w:val="clear" w:pos="2835"/>
        </w:tabs>
        <w:spacing w:after="160" w:line="252" w:lineRule="auto"/>
        <w:contextualSpacing/>
      </w:pPr>
      <w:r w:rsidRPr="00F215B8">
        <w:t xml:space="preserve">TMR to verify identity and arrange for production of the physical clearance </w:t>
      </w:r>
      <w:proofErr w:type="gramStart"/>
      <w:r w:rsidRPr="00F215B8">
        <w:t>card;</w:t>
      </w:r>
      <w:proofErr w:type="gramEnd"/>
      <w:r w:rsidRPr="00F215B8">
        <w:t xml:space="preserve"> </w:t>
      </w:r>
    </w:p>
    <w:p w14:paraId="328F76C4" w14:textId="77777777" w:rsidR="00293CEF" w:rsidRPr="00F215B8" w:rsidRDefault="00293CEF" w:rsidP="00293CEF">
      <w:pPr>
        <w:pStyle w:val="ListParagraph"/>
        <w:numPr>
          <w:ilvl w:val="0"/>
          <w:numId w:val="9"/>
        </w:numPr>
        <w:tabs>
          <w:tab w:val="clear" w:pos="2835"/>
        </w:tabs>
        <w:spacing w:after="160" w:line="252" w:lineRule="auto"/>
        <w:contextualSpacing/>
      </w:pPr>
      <w:r w:rsidRPr="00F215B8">
        <w:t>third parties wh</w:t>
      </w:r>
      <w:r>
        <w:t>ich</w:t>
      </w:r>
      <w:r w:rsidRPr="00F215B8">
        <w:t xml:space="preserve"> produce the physical clearance card</w:t>
      </w:r>
      <w:r>
        <w:t>; and</w:t>
      </w:r>
    </w:p>
    <w:p w14:paraId="44CBFCAB" w14:textId="77777777" w:rsidR="00293CEF" w:rsidRDefault="00293CEF" w:rsidP="00293CEF">
      <w:pPr>
        <w:pStyle w:val="ListParagraph"/>
        <w:numPr>
          <w:ilvl w:val="0"/>
          <w:numId w:val="9"/>
        </w:numPr>
        <w:tabs>
          <w:tab w:val="clear" w:pos="2835"/>
        </w:tabs>
        <w:spacing w:after="160" w:line="252" w:lineRule="auto"/>
        <w:contextualSpacing/>
      </w:pPr>
      <w:r>
        <w:t>the Department’s Information and Communication Technology service providers for the purpose of system support and development.</w:t>
      </w:r>
    </w:p>
    <w:p w14:paraId="60A90030" w14:textId="77777777" w:rsidR="00293CEF" w:rsidRPr="00BF4BE3" w:rsidRDefault="00293CEF" w:rsidP="00293CEF">
      <w:r w:rsidRPr="00BF4BE3">
        <w:t xml:space="preserve">The </w:t>
      </w:r>
      <w:r>
        <w:t>D</w:t>
      </w:r>
      <w:r w:rsidRPr="00BF4BE3">
        <w:t xml:space="preserve">epartment and Blue Card Services collect and share personal and sensitive information for the purposes of the operation of the disability worker screening and the blue card systems. For example, the department may share your personal information with Blue Card Services under the Act and the </w:t>
      </w:r>
      <w:r w:rsidRPr="00BF4BE3">
        <w:rPr>
          <w:i/>
          <w:iCs/>
        </w:rPr>
        <w:t>Working with Children (Risk Management and Screening) Act 2000</w:t>
      </w:r>
      <w:r w:rsidRPr="00BF4BE3">
        <w:t xml:space="preserve"> to:</w:t>
      </w:r>
    </w:p>
    <w:p w14:paraId="4E7929FF" w14:textId="77777777" w:rsidR="00293CEF" w:rsidRPr="00BF4BE3" w:rsidRDefault="00293CEF" w:rsidP="00293CEF">
      <w:pPr>
        <w:pStyle w:val="ListParagraph"/>
        <w:numPr>
          <w:ilvl w:val="0"/>
          <w:numId w:val="8"/>
        </w:numPr>
        <w:tabs>
          <w:tab w:val="clear" w:pos="2835"/>
        </w:tabs>
        <w:spacing w:after="160" w:line="252" w:lineRule="auto"/>
        <w:contextualSpacing/>
      </w:pPr>
      <w:r w:rsidRPr="00BF4BE3">
        <w:t xml:space="preserve">establish a match with your Blue Card </w:t>
      </w:r>
      <w:proofErr w:type="gramStart"/>
      <w:r w:rsidRPr="00BF4BE3">
        <w:t>record;</w:t>
      </w:r>
      <w:proofErr w:type="gramEnd"/>
    </w:p>
    <w:p w14:paraId="194CFF72" w14:textId="77777777" w:rsidR="00293CEF" w:rsidRPr="00BF4BE3" w:rsidRDefault="00293CEF" w:rsidP="00293CEF">
      <w:pPr>
        <w:pStyle w:val="ListParagraph"/>
        <w:numPr>
          <w:ilvl w:val="0"/>
          <w:numId w:val="8"/>
        </w:numPr>
        <w:tabs>
          <w:tab w:val="clear" w:pos="2835"/>
        </w:tabs>
        <w:spacing w:after="160" w:line="252" w:lineRule="auto"/>
        <w:contextualSpacing/>
      </w:pPr>
      <w:r w:rsidRPr="00BF4BE3">
        <w:t>obtain information from Blue Card Services in relation to the working with children eligibility assessment undertaken by Blue Card Services, including the assessment outcome and your ongoing eligibility to hold a Working with Children authority (blue or exemption card</w:t>
      </w:r>
      <w:proofErr w:type="gramStart"/>
      <w:r w:rsidRPr="00BF4BE3">
        <w:t>);</w:t>
      </w:r>
      <w:proofErr w:type="gramEnd"/>
      <w:r w:rsidRPr="00BF4BE3">
        <w:t xml:space="preserve"> </w:t>
      </w:r>
    </w:p>
    <w:p w14:paraId="39F069CB" w14:textId="77777777" w:rsidR="00293CEF" w:rsidRPr="00BF4BE3" w:rsidRDefault="00293CEF" w:rsidP="00293CEF">
      <w:pPr>
        <w:pStyle w:val="ListParagraph"/>
        <w:numPr>
          <w:ilvl w:val="0"/>
          <w:numId w:val="8"/>
        </w:numPr>
        <w:tabs>
          <w:tab w:val="clear" w:pos="2835"/>
        </w:tabs>
        <w:spacing w:after="160" w:line="252" w:lineRule="auto"/>
        <w:contextualSpacing/>
      </w:pPr>
      <w:r w:rsidRPr="00BF4BE3">
        <w:t xml:space="preserve">notify Blue Card Services of the outcome of your Disability Worker Screening application and your ongoing eligibility to hold a disability worker screening </w:t>
      </w:r>
      <w:proofErr w:type="gramStart"/>
      <w:r w:rsidRPr="00BF4BE3">
        <w:t>clearance;</w:t>
      </w:r>
      <w:proofErr w:type="gramEnd"/>
    </w:p>
    <w:p w14:paraId="57175F1F" w14:textId="77777777" w:rsidR="00293CEF" w:rsidRPr="00BF4BE3" w:rsidRDefault="00293CEF" w:rsidP="00293CEF">
      <w:pPr>
        <w:pStyle w:val="ListParagraph"/>
        <w:numPr>
          <w:ilvl w:val="0"/>
          <w:numId w:val="8"/>
        </w:numPr>
        <w:tabs>
          <w:tab w:val="clear" w:pos="2835"/>
        </w:tabs>
        <w:spacing w:after="160" w:line="252" w:lineRule="auto"/>
        <w:contextualSpacing/>
      </w:pPr>
      <w:r w:rsidRPr="00BF4BE3">
        <w:t>send and receive information or documents relevant to the assessment of your eligibility to hold a disability worker clearance or a blue/exemption card.</w:t>
      </w:r>
    </w:p>
    <w:p w14:paraId="36A901F4" w14:textId="77777777" w:rsidR="00293CEF" w:rsidRDefault="00293CEF" w:rsidP="00293CEF">
      <w:r w:rsidRPr="00F215B8">
        <w:t>Th</w:t>
      </w:r>
      <w:r>
        <w:t>e</w:t>
      </w:r>
      <w:r w:rsidRPr="00F215B8">
        <w:t xml:space="preserve"> </w:t>
      </w:r>
      <w:r>
        <w:t>Department</w:t>
      </w:r>
      <w:r w:rsidRPr="00F215B8">
        <w:t xml:space="preserve"> will not disclose personal information to other third parties except in accordance with the </w:t>
      </w:r>
      <w:r>
        <w:t xml:space="preserve">Act and the </w:t>
      </w:r>
      <w:r w:rsidRPr="00F215B8">
        <w:t>IP Act</w:t>
      </w:r>
      <w:r>
        <w:t>,</w:t>
      </w:r>
      <w:r w:rsidRPr="00F215B8">
        <w:t xml:space="preserve"> </w:t>
      </w:r>
      <w:r>
        <w:t>or as authorised or required by law</w:t>
      </w:r>
      <w:r w:rsidRPr="00F215B8">
        <w:t>.</w:t>
      </w:r>
      <w:r>
        <w:t xml:space="preserve"> </w:t>
      </w:r>
      <w:r w:rsidRPr="003F39D9">
        <w:t>Your personal information may be transferred overseas in the following circumstances:</w:t>
      </w:r>
    </w:p>
    <w:p w14:paraId="0CBCB161" w14:textId="77777777" w:rsidR="00293CEF" w:rsidRPr="00BF4BE3" w:rsidRDefault="00293CEF" w:rsidP="00293CEF">
      <w:pPr>
        <w:pStyle w:val="ListParagraph"/>
        <w:numPr>
          <w:ilvl w:val="0"/>
          <w:numId w:val="8"/>
        </w:numPr>
        <w:tabs>
          <w:tab w:val="clear" w:pos="2835"/>
        </w:tabs>
        <w:spacing w:after="160" w:line="252" w:lineRule="auto"/>
        <w:contextualSpacing/>
      </w:pPr>
      <w:r w:rsidRPr="00BF4BE3">
        <w:t>where a user accesses the system whilst overseas (if applicable</w:t>
      </w:r>
      <w:proofErr w:type="gramStart"/>
      <w:r w:rsidRPr="00BF4BE3">
        <w:t>);</w:t>
      </w:r>
      <w:proofErr w:type="gramEnd"/>
      <w:r w:rsidRPr="00BF4BE3">
        <w:t xml:space="preserve"> </w:t>
      </w:r>
    </w:p>
    <w:p w14:paraId="3DED9182" w14:textId="77777777" w:rsidR="00293CEF" w:rsidRPr="00BF4BE3" w:rsidRDefault="00293CEF" w:rsidP="00293CEF">
      <w:pPr>
        <w:pStyle w:val="ListParagraph"/>
        <w:numPr>
          <w:ilvl w:val="0"/>
          <w:numId w:val="8"/>
        </w:numPr>
        <w:tabs>
          <w:tab w:val="clear" w:pos="2835"/>
        </w:tabs>
        <w:spacing w:after="160" w:line="252" w:lineRule="auto"/>
        <w:contextualSpacing/>
      </w:pPr>
      <w:r w:rsidRPr="00BF4BE3">
        <w:lastRenderedPageBreak/>
        <w:t>where a service provider who provides support services for the system has servers located overseas (if applicable); and</w:t>
      </w:r>
    </w:p>
    <w:p w14:paraId="5DF3F5B3" w14:textId="77777777" w:rsidR="00293CEF" w:rsidRPr="00BF4BE3" w:rsidRDefault="00293CEF" w:rsidP="00293CEF">
      <w:pPr>
        <w:pStyle w:val="ListParagraph"/>
        <w:numPr>
          <w:ilvl w:val="0"/>
          <w:numId w:val="8"/>
        </w:numPr>
        <w:tabs>
          <w:tab w:val="clear" w:pos="2835"/>
        </w:tabs>
        <w:spacing w:after="160" w:line="252" w:lineRule="auto"/>
        <w:contextualSpacing/>
      </w:pPr>
      <w:r w:rsidRPr="00BF4BE3">
        <w:t>for the purpose of production of the physical card.</w:t>
      </w:r>
    </w:p>
    <w:p w14:paraId="7325CD2F" w14:textId="77777777" w:rsidR="00293CEF" w:rsidRDefault="00293CEF" w:rsidP="00293CEF">
      <w:pPr>
        <w:spacing w:after="0"/>
      </w:pPr>
      <w:r w:rsidRPr="003F39D9">
        <w:t xml:space="preserve">If you access the </w:t>
      </w:r>
      <w:r>
        <w:t>D</w:t>
      </w:r>
      <w:r w:rsidRPr="003F39D9">
        <w:t>epartment’s online services from outside Australia, you will be transferring your personal information overseas, at least to the device you use at the time you are accessing the online services.</w:t>
      </w:r>
    </w:p>
    <w:p w14:paraId="0C3D7944" w14:textId="77777777" w:rsidR="00293CEF" w:rsidRDefault="00293CEF" w:rsidP="00293CEF">
      <w:r>
        <w:t>B</w:t>
      </w:r>
      <w:r w:rsidRPr="005A17F9">
        <w:t xml:space="preserve">y </w:t>
      </w:r>
      <w:r>
        <w:t>registering on the Disability Worker Portal</w:t>
      </w:r>
      <w:r w:rsidRPr="005A17F9">
        <w:t xml:space="preserve"> or preparing an application in the </w:t>
      </w:r>
      <w:r>
        <w:t xml:space="preserve">Disability </w:t>
      </w:r>
      <w:r w:rsidRPr="005A17F9">
        <w:t xml:space="preserve">Worker Portal for the purpose of </w:t>
      </w:r>
      <w:r>
        <w:t>Disability Worker Screening, you are consenting to your</w:t>
      </w:r>
      <w:r w:rsidRPr="005A17F9">
        <w:t xml:space="preserve"> personal information being disclosed to the usual parties to whom </w:t>
      </w:r>
      <w:r>
        <w:t>the Department</w:t>
      </w:r>
      <w:r w:rsidRPr="005A17F9">
        <w:t xml:space="preserve"> discloses personal information</w:t>
      </w:r>
      <w:r>
        <w:t xml:space="preserve"> under the Act. Your information may also be disclosed with your consent or as otherwise authorised or required by law.  </w:t>
      </w:r>
    </w:p>
    <w:p w14:paraId="2D61DC7A" w14:textId="77777777" w:rsidR="00293CEF" w:rsidRPr="00293CEF" w:rsidRDefault="00293CEF" w:rsidP="00293CEF">
      <w:pPr>
        <w:pStyle w:val="Heading2"/>
        <w:rPr>
          <w:rStyle w:val="A6"/>
          <w:rFonts w:cstheme="majorBidi"/>
          <w:b/>
          <w:bCs/>
          <w:color w:val="auto"/>
          <w:sz w:val="28"/>
          <w:szCs w:val="24"/>
        </w:rPr>
      </w:pPr>
      <w:r w:rsidRPr="00293CEF">
        <w:rPr>
          <w:rStyle w:val="A6"/>
          <w:rFonts w:cstheme="majorBidi"/>
          <w:b/>
          <w:bCs/>
          <w:color w:val="auto"/>
          <w:sz w:val="28"/>
          <w:szCs w:val="24"/>
        </w:rPr>
        <w:t xml:space="preserve">Human Rights </w:t>
      </w:r>
    </w:p>
    <w:p w14:paraId="1E5405B2" w14:textId="77777777" w:rsidR="00293CEF" w:rsidRPr="00D41D6D" w:rsidRDefault="00293CEF" w:rsidP="00293CEF">
      <w:r w:rsidRPr="00293CEF">
        <w:t xml:space="preserve">Section 58 of the </w:t>
      </w:r>
      <w:r w:rsidRPr="00293CEF">
        <w:rPr>
          <w:i/>
          <w:iCs/>
        </w:rPr>
        <w:t>Human Rights Act 2019</w:t>
      </w:r>
      <w:r w:rsidRPr="00293CEF">
        <w:t xml:space="preserve"> (Qld) requires public entities to act compatibly with human rights. The Department will give proper consideration to relevant human rights in its decision making.</w:t>
      </w:r>
    </w:p>
    <w:p w14:paraId="186B3B2F" w14:textId="77777777" w:rsidR="00293CEF" w:rsidRDefault="00293CEF" w:rsidP="00293CEF">
      <w:r>
        <w:t xml:space="preserve">Please read the Department’s </w:t>
      </w:r>
      <w:hyperlink r:id="rId11" w:history="1">
        <w:r w:rsidRPr="005745DE">
          <w:rPr>
            <w:rStyle w:val="Hyperlink"/>
          </w:rPr>
          <w:t>Disability Worker Screening, Information Management Policy</w:t>
        </w:r>
      </w:hyperlink>
      <w:r>
        <w:t xml:space="preserve"> for more information about how the Department manages and stores your personal information.  </w:t>
      </w:r>
    </w:p>
    <w:p w14:paraId="64CA326B" w14:textId="77777777" w:rsidR="00293CEF" w:rsidRDefault="00293CEF" w:rsidP="00293CEF"/>
    <w:p w14:paraId="3BFD237D" w14:textId="77777777" w:rsidR="00293CEF" w:rsidRPr="001D4C2E" w:rsidRDefault="00293CEF" w:rsidP="00293CEF"/>
    <w:p w14:paraId="05FE402B" w14:textId="77777777" w:rsidR="00B55032" w:rsidRPr="00293CEF" w:rsidRDefault="00B55032" w:rsidP="00293CEF"/>
    <w:sectPr w:rsidR="00B55032" w:rsidRPr="00293CEF" w:rsidSect="006E1C19">
      <w:headerReference w:type="default" r:id="rId12"/>
      <w:footerReference w:type="default" r:id="rId13"/>
      <w:headerReference w:type="first" r:id="rId14"/>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532F" w14:textId="77777777" w:rsidR="00AD7501" w:rsidRDefault="00AD7501" w:rsidP="00190C24">
      <w:r>
        <w:separator/>
      </w:r>
    </w:p>
  </w:endnote>
  <w:endnote w:type="continuationSeparator" w:id="0">
    <w:p w14:paraId="5CB0168E" w14:textId="77777777" w:rsidR="00AD7501" w:rsidRDefault="00AD7501"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Noto Sans"/>
    <w:charset w:val="00"/>
    <w:family w:val="swiss"/>
    <w:pitch w:val="variable"/>
    <w:sig w:usb0="E00082FF" w:usb1="400078FF" w:usb2="00000021" w:usb3="00000000" w:csb0="0000019F" w:csb1="00000000"/>
  </w:font>
  <w:font w:name="MetaPro-Norm">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etaOT-Bold">
    <w:altName w:val="MetaOT-Bold"/>
    <w:panose1 w:val="00000000000000000000"/>
    <w:charset w:val="00"/>
    <w:family w:val="swiss"/>
    <w:notTrueType/>
    <w:pitch w:val="default"/>
    <w:sig w:usb0="00000003" w:usb1="00000000" w:usb2="00000000" w:usb3="00000000" w:csb0="00000001" w:csb1="00000000"/>
  </w:font>
  <w:font w:name="MetaOT-Norma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9EB0"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6B450F8E" wp14:editId="5372A64B">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EAFF5"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70627C76" wp14:editId="0D4DA651">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7BF2B8B9" w14:textId="77777777" w:rsidR="00664A9F" w:rsidRDefault="00664A9F">
    <w:pPr>
      <w:pStyle w:val="Footer"/>
    </w:pPr>
  </w:p>
  <w:p w14:paraId="29A59BE7"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E69D" w14:textId="77777777" w:rsidR="00AD7501" w:rsidRDefault="00AD7501" w:rsidP="00190C24">
      <w:r>
        <w:separator/>
      </w:r>
    </w:p>
  </w:footnote>
  <w:footnote w:type="continuationSeparator" w:id="0">
    <w:p w14:paraId="5B9B2E2F" w14:textId="77777777" w:rsidR="00AD7501" w:rsidRDefault="00AD7501"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9EFA" w14:textId="77777777" w:rsidR="00273E87" w:rsidRDefault="00273E87" w:rsidP="00555C3B">
    <w:pPr>
      <w:pStyle w:val="Header"/>
      <w:rPr>
        <w:lang w:val="en-US"/>
      </w:rPr>
    </w:pPr>
  </w:p>
  <w:p w14:paraId="6E01E3C4"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1F581D7C" wp14:editId="126FEF89">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1DD9D"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05E2"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CB9"/>
    <w:multiLevelType w:val="hybridMultilevel"/>
    <w:tmpl w:val="7AF22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C922A8"/>
    <w:multiLevelType w:val="hybridMultilevel"/>
    <w:tmpl w:val="86029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A968A3"/>
    <w:multiLevelType w:val="hybridMultilevel"/>
    <w:tmpl w:val="8744D3F0"/>
    <w:lvl w:ilvl="0" w:tplc="2EDE71CE">
      <w:numFmt w:val="bullet"/>
      <w:pStyle w:val="Bulletpointbody"/>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B71D4"/>
    <w:multiLevelType w:val="hybridMultilevel"/>
    <w:tmpl w:val="93882FCA"/>
    <w:lvl w:ilvl="0" w:tplc="D5EC7582">
      <w:start w:val="1"/>
      <w:numFmt w:val="decimal"/>
      <w:pStyle w:val="Numberlist"/>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7"/>
  </w:num>
  <w:num w:numId="3" w16cid:durableId="424690506">
    <w:abstractNumId w:val="5"/>
  </w:num>
  <w:num w:numId="4" w16cid:durableId="1352219071">
    <w:abstractNumId w:val="0"/>
  </w:num>
  <w:num w:numId="5" w16cid:durableId="688750406">
    <w:abstractNumId w:val="8"/>
  </w:num>
  <w:num w:numId="6" w16cid:durableId="1423993243">
    <w:abstractNumId w:val="4"/>
  </w:num>
  <w:num w:numId="7" w16cid:durableId="431440708">
    <w:abstractNumId w:val="6"/>
  </w:num>
  <w:num w:numId="8" w16cid:durableId="660890018">
    <w:abstractNumId w:val="3"/>
  </w:num>
  <w:num w:numId="9" w16cid:durableId="1320305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38"/>
    <w:rsid w:val="00003124"/>
    <w:rsid w:val="00007985"/>
    <w:rsid w:val="0002155B"/>
    <w:rsid w:val="000310FB"/>
    <w:rsid w:val="000425F7"/>
    <w:rsid w:val="000436FC"/>
    <w:rsid w:val="0005471A"/>
    <w:rsid w:val="00066E58"/>
    <w:rsid w:val="000B61AC"/>
    <w:rsid w:val="000E1223"/>
    <w:rsid w:val="000E4088"/>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27C27"/>
    <w:rsid w:val="002371F7"/>
    <w:rsid w:val="0024520B"/>
    <w:rsid w:val="002706E8"/>
    <w:rsid w:val="00273E87"/>
    <w:rsid w:val="00293CEF"/>
    <w:rsid w:val="002B15E5"/>
    <w:rsid w:val="002B5219"/>
    <w:rsid w:val="002B7607"/>
    <w:rsid w:val="002C47FC"/>
    <w:rsid w:val="002E3E34"/>
    <w:rsid w:val="002F78A2"/>
    <w:rsid w:val="00320670"/>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62DA"/>
    <w:rsid w:val="00476A07"/>
    <w:rsid w:val="004A5E19"/>
    <w:rsid w:val="004E5A25"/>
    <w:rsid w:val="004E62A1"/>
    <w:rsid w:val="00540992"/>
    <w:rsid w:val="00543A32"/>
    <w:rsid w:val="00555585"/>
    <w:rsid w:val="0055582F"/>
    <w:rsid w:val="00555C3B"/>
    <w:rsid w:val="005A28EB"/>
    <w:rsid w:val="005B0EC5"/>
    <w:rsid w:val="005B79A8"/>
    <w:rsid w:val="005C68D9"/>
    <w:rsid w:val="005E178A"/>
    <w:rsid w:val="005F4331"/>
    <w:rsid w:val="0062040F"/>
    <w:rsid w:val="006239A5"/>
    <w:rsid w:val="00636B71"/>
    <w:rsid w:val="006420CC"/>
    <w:rsid w:val="00646AE8"/>
    <w:rsid w:val="00664A9F"/>
    <w:rsid w:val="00672747"/>
    <w:rsid w:val="0068756E"/>
    <w:rsid w:val="006B071D"/>
    <w:rsid w:val="006C3D8E"/>
    <w:rsid w:val="006D0BCD"/>
    <w:rsid w:val="006E1C19"/>
    <w:rsid w:val="006F0011"/>
    <w:rsid w:val="007274E7"/>
    <w:rsid w:val="00790807"/>
    <w:rsid w:val="007B4E7E"/>
    <w:rsid w:val="007D023E"/>
    <w:rsid w:val="007D0BEA"/>
    <w:rsid w:val="007D3462"/>
    <w:rsid w:val="0080579A"/>
    <w:rsid w:val="008171D4"/>
    <w:rsid w:val="00820415"/>
    <w:rsid w:val="0083235D"/>
    <w:rsid w:val="00834179"/>
    <w:rsid w:val="0084602D"/>
    <w:rsid w:val="00851964"/>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5056"/>
    <w:rsid w:val="009A7275"/>
    <w:rsid w:val="009B7893"/>
    <w:rsid w:val="009C0738"/>
    <w:rsid w:val="009E5EE5"/>
    <w:rsid w:val="009F02B3"/>
    <w:rsid w:val="00A224DC"/>
    <w:rsid w:val="00A25FB3"/>
    <w:rsid w:val="00A36618"/>
    <w:rsid w:val="00A37A8D"/>
    <w:rsid w:val="00A40883"/>
    <w:rsid w:val="00A47F67"/>
    <w:rsid w:val="00A65710"/>
    <w:rsid w:val="00A86680"/>
    <w:rsid w:val="00AB0A25"/>
    <w:rsid w:val="00AC555D"/>
    <w:rsid w:val="00AD2501"/>
    <w:rsid w:val="00AD5F26"/>
    <w:rsid w:val="00AD69CA"/>
    <w:rsid w:val="00AD7501"/>
    <w:rsid w:val="00AE022D"/>
    <w:rsid w:val="00AF7DD9"/>
    <w:rsid w:val="00B04635"/>
    <w:rsid w:val="00B30EA8"/>
    <w:rsid w:val="00B33337"/>
    <w:rsid w:val="00B55032"/>
    <w:rsid w:val="00B613E4"/>
    <w:rsid w:val="00B70170"/>
    <w:rsid w:val="00B8699D"/>
    <w:rsid w:val="00B9593D"/>
    <w:rsid w:val="00B9771E"/>
    <w:rsid w:val="00BC4AA9"/>
    <w:rsid w:val="00BC6556"/>
    <w:rsid w:val="00BC723A"/>
    <w:rsid w:val="00BD0F68"/>
    <w:rsid w:val="00BD2974"/>
    <w:rsid w:val="00C07E26"/>
    <w:rsid w:val="00C31759"/>
    <w:rsid w:val="00C33A93"/>
    <w:rsid w:val="00C51A70"/>
    <w:rsid w:val="00C51D08"/>
    <w:rsid w:val="00CA66DC"/>
    <w:rsid w:val="00CB07AD"/>
    <w:rsid w:val="00CB609F"/>
    <w:rsid w:val="00CC7632"/>
    <w:rsid w:val="00CD57A1"/>
    <w:rsid w:val="00CD793C"/>
    <w:rsid w:val="00CE075D"/>
    <w:rsid w:val="00D01CD2"/>
    <w:rsid w:val="00D13431"/>
    <w:rsid w:val="00D23470"/>
    <w:rsid w:val="00D517CD"/>
    <w:rsid w:val="00D75050"/>
    <w:rsid w:val="00D842DF"/>
    <w:rsid w:val="00D94442"/>
    <w:rsid w:val="00DC5E03"/>
    <w:rsid w:val="00DD5973"/>
    <w:rsid w:val="00DE1E49"/>
    <w:rsid w:val="00DF2836"/>
    <w:rsid w:val="00E3336E"/>
    <w:rsid w:val="00E42000"/>
    <w:rsid w:val="00E441D6"/>
    <w:rsid w:val="00E46FDC"/>
    <w:rsid w:val="00E47FB8"/>
    <w:rsid w:val="00E872C5"/>
    <w:rsid w:val="00EA2EFC"/>
    <w:rsid w:val="00EF474F"/>
    <w:rsid w:val="00EF4AC5"/>
    <w:rsid w:val="00F16981"/>
    <w:rsid w:val="00F367B3"/>
    <w:rsid w:val="00F37CA9"/>
    <w:rsid w:val="00F41806"/>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6244B"/>
  <w15:chartTrackingRefBased/>
  <w15:docId w15:val="{A343B045-3897-A941-88D2-5F9DF001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Body Copy"/>
    <w:qFormat/>
    <w:rsid w:val="00F41806"/>
    <w:pPr>
      <w:spacing w:after="120"/>
    </w:pPr>
    <w:rPr>
      <w:rFonts w:ascii="Arial" w:hAnsi="Arial"/>
      <w:kern w:val="2"/>
      <w:sz w:val="20"/>
      <w14:ligatures w14:val="standardContextual"/>
    </w:rPr>
  </w:style>
  <w:style w:type="paragraph" w:styleId="Heading1">
    <w:name w:val="heading 1"/>
    <w:basedOn w:val="Normal"/>
    <w:next w:val="Normal"/>
    <w:link w:val="Heading1Char"/>
    <w:autoRedefine/>
    <w:uiPriority w:val="9"/>
    <w:qFormat/>
    <w:rsid w:val="009C0738"/>
    <w:pPr>
      <w:widowControl w:val="0"/>
      <w:suppressAutoHyphens/>
      <w:autoSpaceDE w:val="0"/>
      <w:autoSpaceDN w:val="0"/>
      <w:adjustRightInd w:val="0"/>
      <w:textAlignment w:val="center"/>
      <w:outlineLvl w:val="0"/>
    </w:pPr>
    <w:rPr>
      <w:rFonts w:eastAsia="MS Mincho" w:cs="Arial"/>
      <w:b/>
      <w:color w:val="005EB8" w:themeColor="text1"/>
      <w:sz w:val="56"/>
      <w:szCs w:val="48"/>
      <w:lang w:val="en-GB"/>
    </w:rPr>
  </w:style>
  <w:style w:type="paragraph" w:styleId="Heading2">
    <w:name w:val="heading 2"/>
    <w:basedOn w:val="Normal"/>
    <w:next w:val="Normal"/>
    <w:link w:val="Heading2Char"/>
    <w:autoRedefine/>
    <w:uiPriority w:val="9"/>
    <w:unhideWhenUsed/>
    <w:qFormat/>
    <w:rsid w:val="009C0738"/>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9C0738"/>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C0738"/>
    <w:pPr>
      <w:spacing w:before="240"/>
      <w:outlineLvl w:val="3"/>
    </w:pPr>
    <w:rPr>
      <w:rFonts w:ascii="Times New Roman" w:hAnsi="Times New Roman"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C0738"/>
    <w:rPr>
      <w:rFonts w:ascii="Arial" w:eastAsia="MS Mincho" w:hAnsi="Arial" w:cs="Arial"/>
      <w:b/>
      <w:color w:val="005EB8" w:themeColor="text1"/>
      <w:kern w:val="2"/>
      <w:sz w:val="56"/>
      <w:szCs w:val="48"/>
      <w:lang w:val="en-GB"/>
      <w14:ligatures w14:val="standardContextual"/>
    </w:rPr>
  </w:style>
  <w:style w:type="character" w:customStyle="1" w:styleId="Heading2Char">
    <w:name w:val="Heading 2 Char"/>
    <w:basedOn w:val="DefaultParagraphFont"/>
    <w:link w:val="Heading2"/>
    <w:uiPriority w:val="9"/>
    <w:rsid w:val="009C0738"/>
    <w:rPr>
      <w:rFonts w:ascii="Arial" w:hAnsi="Arial" w:cs="Arial"/>
      <w:b/>
      <w:bCs/>
      <w:kern w:val="2"/>
      <w:sz w:val="32"/>
      <w:szCs w:val="40"/>
      <w14:ligatures w14:val="standardContextual"/>
    </w:rPr>
  </w:style>
  <w:style w:type="character" w:customStyle="1" w:styleId="Heading3Char">
    <w:name w:val="Heading 3 Char"/>
    <w:basedOn w:val="DefaultParagraphFont"/>
    <w:link w:val="Heading3"/>
    <w:uiPriority w:val="9"/>
    <w:rsid w:val="009C0738"/>
    <w:rPr>
      <w:rFonts w:ascii="Arial" w:hAnsi="Arial" w:cs="Arial"/>
      <w:bCs/>
      <w:kern w:val="2"/>
      <w:sz w:val="28"/>
      <w:szCs w:val="28"/>
      <w14:ligatures w14:val="standardContextual"/>
    </w:rPr>
  </w:style>
  <w:style w:type="character" w:customStyle="1" w:styleId="Heading4Char">
    <w:name w:val="Heading 4 Char"/>
    <w:basedOn w:val="DefaultParagraphFont"/>
    <w:link w:val="Heading4"/>
    <w:uiPriority w:val="9"/>
    <w:rsid w:val="009C0738"/>
    <w:rPr>
      <w:rFonts w:ascii="Times New Roman" w:hAnsi="Times New Roman" w:cs="Arial"/>
      <w:bCs/>
      <w:i/>
      <w:iCs/>
      <w:kern w:val="2"/>
      <w:sz w:val="32"/>
      <w:szCs w:val="20"/>
      <w14:ligatures w14:val="standardContextual"/>
    </w:rPr>
  </w:style>
  <w:style w:type="paragraph" w:styleId="NoSpacing">
    <w:name w:val="No Spacing"/>
    <w:uiPriority w:val="1"/>
    <w:qFormat/>
    <w:rsid w:val="007274E7"/>
    <w:rPr>
      <w:rFonts w:ascii="Arial" w:hAnsi="Arial"/>
      <w:sz w:val="22"/>
    </w:rPr>
  </w:style>
  <w:style w:type="paragraph" w:styleId="ListParagraph">
    <w:name w:val="List Paragraph"/>
    <w:aliases w:val="Bullet copy,0Bullet,Bullet point,CV text,Dot pt,F5 List Paragraph,FooterText,L,List Paragraph1,List Paragraph11,List Paragraph111,List Paragraph2,Medium Grid 1 - Accent 21,NFP GP Bulleted List,numbered,列出段,Recommendation,Numbered Paragrap"/>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kern w:val="2"/>
      <w:sz w:val="48"/>
      <w:szCs w:val="48"/>
      <w:lang w:val="en-GB"/>
      <w14:ligatures w14:val="standardContextual"/>
    </w:rPr>
  </w:style>
  <w:style w:type="paragraph" w:customStyle="1" w:styleId="Bulletpointbody">
    <w:name w:val="Bullet point body"/>
    <w:basedOn w:val="ListParagraph"/>
    <w:qFormat/>
    <w:rsid w:val="00F41806"/>
    <w:pPr>
      <w:numPr>
        <w:numId w:val="6"/>
      </w:numPr>
      <w:tabs>
        <w:tab w:val="clear" w:pos="2835"/>
        <w:tab w:val="num" w:pos="360"/>
      </w:tabs>
      <w:ind w:left="426" w:hanging="284"/>
      <w:contextualSpacing/>
    </w:pPr>
    <w:rPr>
      <w:lang w:eastAsia="en-US"/>
    </w:rPr>
  </w:style>
  <w:style w:type="paragraph" w:customStyle="1" w:styleId="Numberlist">
    <w:name w:val="Number list"/>
    <w:basedOn w:val="Bulletpointbody"/>
    <w:qFormat/>
    <w:rsid w:val="009C0738"/>
    <w:pPr>
      <w:numPr>
        <w:numId w:val="7"/>
      </w:numPr>
      <w:tabs>
        <w:tab w:val="num" w:pos="360"/>
      </w:tabs>
      <w:ind w:left="1080" w:hanging="720"/>
    </w:pPr>
  </w:style>
  <w:style w:type="paragraph" w:customStyle="1" w:styleId="DoJHeading1">
    <w:name w:val="DoJ Heading 1"/>
    <w:basedOn w:val="Heading1"/>
    <w:qFormat/>
    <w:rsid w:val="00BC723A"/>
  </w:style>
  <w:style w:type="paragraph" w:customStyle="1" w:styleId="DoJHeading2">
    <w:name w:val="DoJ Heading 2"/>
    <w:basedOn w:val="Heading2"/>
    <w:qFormat/>
    <w:rsid w:val="00BC723A"/>
  </w:style>
  <w:style w:type="paragraph" w:customStyle="1" w:styleId="DoJHeading3">
    <w:name w:val="DoJ Heading 3"/>
    <w:basedOn w:val="Heading3"/>
    <w:qFormat/>
    <w:rsid w:val="00BC723A"/>
  </w:style>
  <w:style w:type="paragraph" w:customStyle="1" w:styleId="DoJHeading4">
    <w:name w:val="DoJ Heading 4"/>
    <w:basedOn w:val="Heading4"/>
    <w:qFormat/>
    <w:rsid w:val="00BC723A"/>
    <w:rPr>
      <w:rFonts w:ascii="Arial" w:hAnsi="Arial"/>
      <w:b/>
      <w:i w:val="0"/>
      <w:color w:val="005EB8" w:themeColor="text1"/>
      <w:sz w:val="20"/>
    </w:rPr>
  </w:style>
  <w:style w:type="character" w:customStyle="1" w:styleId="ListParagraphChar">
    <w:name w:val="List Paragraph Char"/>
    <w:aliases w:val="Bullet copy Char,0Bullet Char,Bullet point Char,CV text Char,Dot pt Char,F5 List Paragraph Char,FooterText Char,L Char,List Paragraph1 Char,List Paragraph11 Char,List Paragraph111 Char,List Paragraph2 Char,NFP GP Bulleted List Char"/>
    <w:basedOn w:val="DefaultParagraphFont"/>
    <w:link w:val="ListParagraph"/>
    <w:uiPriority w:val="34"/>
    <w:locked/>
    <w:rsid w:val="00293CEF"/>
    <w:rPr>
      <w:rFonts w:ascii="Arial" w:hAnsi="Arial"/>
      <w:kern w:val="2"/>
      <w:sz w:val="20"/>
      <w:lang w:eastAsia="en-AU"/>
      <w14:ligatures w14:val="standardContextual"/>
    </w:rPr>
  </w:style>
  <w:style w:type="character" w:customStyle="1" w:styleId="A6">
    <w:name w:val="A6"/>
    <w:uiPriority w:val="99"/>
    <w:rsid w:val="00293CEF"/>
    <w:rPr>
      <w:rFonts w:cs="MetaOT-Bold"/>
      <w:b/>
      <w:bCs/>
      <w:color w:val="000000"/>
      <w:sz w:val="22"/>
      <w:szCs w:val="22"/>
    </w:rPr>
  </w:style>
  <w:style w:type="character" w:customStyle="1" w:styleId="A2">
    <w:name w:val="A2"/>
    <w:uiPriority w:val="99"/>
    <w:rsid w:val="00293CEF"/>
    <w:rPr>
      <w:rFonts w:ascii="MetaOT-Normal" w:hAnsi="MetaOT-Normal" w:cs="MetaOT-Normal"/>
      <w:color w:val="000000"/>
      <w:sz w:val="18"/>
      <w:szCs w:val="18"/>
    </w:rPr>
  </w:style>
  <w:style w:type="character" w:styleId="Hyperlink">
    <w:name w:val="Hyperlink"/>
    <w:basedOn w:val="DefaultParagraphFont"/>
    <w:uiPriority w:val="99"/>
    <w:unhideWhenUsed/>
    <w:rsid w:val="00293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kerscreening.qld.gov.au/_media/documents/workers2/worker-policy-infomg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939463-958f-4471-838e-71232abbcb21" xsi:nil="true"/>
    <lcf76f155ced4ddcb4097134ff3c332f xmlns="701ee6e0-37e9-49c3-9604-3263e00128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D91A53ADB5F9C4FAAF260CF1236899D" ma:contentTypeVersion="13" ma:contentTypeDescription="Create a new document." ma:contentTypeScope="" ma:versionID="ee7bdbd25208196d40d15c8ed94bc93b">
  <xsd:schema xmlns:xsd="http://www.w3.org/2001/XMLSchema" xmlns:xs="http://www.w3.org/2001/XMLSchema" xmlns:p="http://schemas.microsoft.com/office/2006/metadata/properties" xmlns:ns2="701ee6e0-37e9-49c3-9604-3263e0012876" xmlns:ns3="1f939463-958f-4471-838e-71232abbcb21" targetNamespace="http://schemas.microsoft.com/office/2006/metadata/properties" ma:root="true" ma:fieldsID="215994e27da6f20f2c7d194da0cb43b7" ns2:_="" ns3:_="">
    <xsd:import namespace="701ee6e0-37e9-49c3-9604-3263e0012876"/>
    <xsd:import namespace="1f939463-958f-4471-838e-71232abbc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e6e0-37e9-49c3-9604-3263e0012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ddfcb4-d4d9-4c0a-a157-a322b1d893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39463-958f-4471-838e-71232abbc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1a8a4-f0a9-435d-8f8f-acd9c951c181}" ma:internalName="TaxCatchAll" ma:showField="CatchAllData" ma:web="1f939463-958f-4471-838e-71232abbc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1f939463-958f-4471-838e-71232abbcb21"/>
    <ds:schemaRef ds:uri="701ee6e0-37e9-49c3-9604-3263e0012876"/>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562F78BE-5EFF-4A78-98FE-B97A41CD4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e6e0-37e9-49c3-9604-3263e0012876"/>
    <ds:schemaRef ds:uri="1f939463-958f-4471-838e-71232abb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83ea622-975d-4bef-a1d0-d1f9c139f8b3}" enabled="0" method="" siteId="{583ea622-975d-4bef-a1d0-d1f9c139f8b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820</Words>
  <Characters>3900</Characters>
  <Application>Microsoft Office Word</Application>
  <DocSecurity>0</DocSecurity>
  <Lines>68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Worker Screening Privacy Statement</dc:title>
  <dc:subject>The Disability Worker Screening privacy statement outlines how information collected by DWS is used and shared.</dc:subject>
  <dc:creator>Queensland Government</dc:creator>
  <cp:keywords>privacy; statement; information; DWS; disability; worker; screening; rights</cp:keywords>
  <dc:description/>
  <cp:lastModifiedBy>Henry M Sinclair</cp:lastModifiedBy>
  <cp:revision>5</cp:revision>
  <cp:lastPrinted>2025-08-07T05:04:00Z</cp:lastPrinted>
  <dcterms:created xsi:type="dcterms:W3CDTF">2025-09-16T22:46:00Z</dcterms:created>
  <dcterms:modified xsi:type="dcterms:W3CDTF">2025-10-30T06:59:00Z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0x0101002D91A53ADB5F9C4FAAF260CF1236899D</vt:lpwstr>
  </property>
  <property fmtid="{D5CDD505-2E9C-101B-9397-08002B2CF9AE}" pid="3" name="_dlc_DocIdItemGuid">
    <vt:lpwstr>177437fe-fcd7-42fc-a979-86efea21a4c1</vt:lpwstr>
  </property>
  <property fmtid="{D5CDD505-2E9C-101B-9397-08002B2CF9AE}" pid="4" name="MediaServiceImageTags">
    <vt:lpwstr/>
  </property>
</Properties>
</file>